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D2B21" w14:textId="77777777" w:rsidR="001F1FBE" w:rsidRDefault="00000000">
      <w:pPr>
        <w:spacing w:after="120"/>
        <w:jc w:val="center"/>
      </w:pPr>
      <w:r>
        <w:rPr>
          <w:rFonts w:ascii="Arial" w:eastAsia="Arial" w:hAnsi="Arial" w:cs="Arial"/>
          <w:b/>
          <w:bCs/>
          <w:color w:val="1F4E79"/>
          <w:sz w:val="32"/>
          <w:szCs w:val="32"/>
          <w:rtl/>
        </w:rPr>
        <w:t>تقرير مراجعة حسابات الصناديق (الفروع – المناديب) — 2025</w:t>
      </w:r>
    </w:p>
    <w:p w14:paraId="1F1C5972" w14:textId="77777777" w:rsidR="001F1FBE" w:rsidRDefault="001F1FBE">
      <w:pPr>
        <w:pBdr>
          <w:bottom w:val="single" w:sz="6" w:space="0" w:color="1F4E79"/>
        </w:pBdr>
        <w:spacing w:after="200"/>
        <w:jc w:val="center"/>
      </w:pPr>
    </w:p>
    <w:p w14:paraId="1DA036B2" w14:textId="77777777" w:rsidR="001F1FBE" w:rsidRDefault="00000000">
      <w:pPr>
        <w:shd w:val="clear" w:color="auto" w:fill="FFF2CC"/>
        <w:spacing w:after="120"/>
        <w:jc w:val="right"/>
      </w:pPr>
      <w:r>
        <w:rPr>
          <w:rFonts w:ascii="Arial" w:eastAsia="Arial" w:hAnsi="Arial" w:cs="Arial"/>
          <w:b/>
          <w:bCs/>
          <w:color w:val="7F6000"/>
          <w:rtl/>
        </w:rPr>
        <w:t xml:space="preserve">ملاحظة عامة: </w:t>
      </w:r>
      <w:r>
        <w:rPr>
          <w:rFonts w:ascii="Arial" w:eastAsia="Arial" w:hAnsi="Arial" w:cs="Arial"/>
          <w:color w:val="7F6000"/>
          <w:rtl/>
        </w:rPr>
        <w:t>جميع المناديب لم يُسجَّل لهم أرصدة افتتاحية في بداية المدة (مخزون وحسابات).</w:t>
      </w:r>
    </w:p>
    <w:p w14:paraId="265EFAB2" w14:textId="77777777" w:rsidR="001F1FBE" w:rsidRDefault="00000000">
      <w:pPr>
        <w:spacing w:after="200"/>
        <w:jc w:val="right"/>
      </w:pPr>
      <w:r>
        <w:rPr>
          <w:rFonts w:ascii="Arial" w:eastAsia="Arial" w:hAnsi="Arial" w:cs="Arial"/>
          <w:b/>
          <w:bCs/>
          <w:rtl/>
        </w:rPr>
        <w:t>ملخص: إجمالي الصناديق 37 — مطابق: 35 — غير مطابق: 2.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1153"/>
        <w:gridCol w:w="1123"/>
        <w:gridCol w:w="723"/>
        <w:gridCol w:w="6409"/>
      </w:tblGrid>
      <w:tr w:rsidR="001F1FBE" w14:paraId="349092A8" w14:textId="77777777" w:rsidTr="00A51FC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99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C442B3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116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3FA42C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رقم الحساب</w:t>
            </w:r>
          </w:p>
        </w:tc>
        <w:tc>
          <w:tcPr>
            <w:tcW w:w="112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89E8F9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اسم الصندوق / المندوب</w:t>
            </w:r>
          </w:p>
        </w:tc>
        <w:tc>
          <w:tcPr>
            <w:tcW w:w="72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BB931E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حالة المطابقة</w:t>
            </w:r>
          </w:p>
        </w:tc>
        <w:tc>
          <w:tcPr>
            <w:tcW w:w="639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07A6A4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الملاحظات وأسباب الفروقات</w:t>
            </w:r>
          </w:p>
        </w:tc>
      </w:tr>
      <w:tr w:rsidR="001F1FBE" w14:paraId="7CBAF1AB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570FE6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09AE5E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1010101001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730E62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فريد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FBB551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67DDF7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1F1FBE" w14:paraId="068F2215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D61C04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2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FD98B2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1010101002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D7DD4D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فرع الرياض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519788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2F1DF6" w14:textId="77777777" w:rsidR="001F1FBE" w:rsidRDefault="00000000">
            <w:pPr>
              <w:spacing w:after="60"/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لا يوجد فرق بين المخزون والحسابات للحركات المخزنية المرحّلة للحسابات والتي تمت بأسلوب دفع النقدية (فرع الرياض فقط) + أسلوب دفع صندوق الرياض (على جميع الفروع).</w:t>
            </w:r>
          </w:p>
          <w:p w14:paraId="389D533D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الحساب دائن بنظام الحسابات بسبب وجود 5 قيود يومية (أرقام 8، 10، 13، 15، 20) بقيمة 107,938.54 ريال دائن — وهذا سبب الرصيد الدائن آخر المدة للحساب.</w:t>
            </w:r>
          </w:p>
        </w:tc>
      </w:tr>
      <w:tr w:rsidR="001F1FBE" w14:paraId="24022E9C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1B27B7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3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CF7823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40BCB1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فرع الإحساء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93B462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7BE487" w14:textId="77777777" w:rsidR="001F1FBE" w:rsidRDefault="00000000">
            <w:pPr>
              <w:spacing w:after="60"/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الرصيد مطابق بين المخزون والحسابات.</w:t>
            </w:r>
          </w:p>
          <w:p w14:paraId="04FAC91E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رصيد الحساب في الحسابات دائن بسبب وجود 36 سند صرف بأسلوب دفع صندوق الإحساء دائن بقيمة 164,747.69 ريال (تم تحديدها من عمود طريقة الدفع باستثناء الحقول الفارغة).</w:t>
            </w:r>
          </w:p>
        </w:tc>
      </w:tr>
      <w:tr w:rsidR="001F1FBE" w14:paraId="3213B9CC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C2DEAF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4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E5820C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BAA8C0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أفضل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E8CCE4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09411C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في نظام المخزون دائن بسبب وجود حركات تحويل مديونية كانت فيها قيمة خصم المديونية أكبر من قيمة إضافة المديونية، مما سبب رصيدًا سالبًا للمندوب.</w:t>
            </w:r>
          </w:p>
        </w:tc>
      </w:tr>
      <w:tr w:rsidR="001F1FBE" w14:paraId="6DC827A3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CB8CCB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5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E51EBD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D90E15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ديلوار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FDF1CE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322BD4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رصيد مديونية المندوب بالمخزون دائن بسبب: (1) عدم تسجيل رصيد افتتاحي للمندوب بقيمة افتتاحي عملائه (17,286.21 ريال). (2) حركة خصم المديونية أعلى من حركة إضافة المديونية بفرق -17,453.4 ريال.</w:t>
            </w:r>
          </w:p>
        </w:tc>
      </w:tr>
      <w:tr w:rsidR="001F1FBE" w14:paraId="3331E085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A58294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6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8F2848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0914B2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فؤاد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6BAF88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39B718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1F1FBE" w14:paraId="5074A41E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7F2F20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7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3FAC2C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BD141D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جاهد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B96763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C02C69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1F1FBE" w14:paraId="07C1F225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C8E300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8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B93125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9F307C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ملنغ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13C8EE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104208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1F1FBE" w14:paraId="7F77E04F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7322A0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9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041BE7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AF6D93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مصطفى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0B4F3D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EB786D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الصندوق دائن بسبب: (1) رصيد افتتاحي لعملاء المندوب (Moustafa Hegazy) لم يُسجَّل في بداية المدة. (2) قيمة سندات الصرف أكبر من قيمة المبيعات (سند الصرف = -74,502.905، المبيعات = 71,795.4861). (3) قيمة خصم المديونية أعلى من إضافة المديونية بفرق -76,678.08 ريال.</w:t>
            </w:r>
          </w:p>
        </w:tc>
      </w:tr>
      <w:tr w:rsidR="001F1FBE" w14:paraId="79EB6433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E53A6D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FF27A9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A163D9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شبوز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80536B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0D3D09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والحسابات، لكن نوع سند الصرف "مرتجع" لا يؤثر على سند الصرف في كشف حساب المندوب.</w:t>
            </w:r>
          </w:p>
        </w:tc>
      </w:tr>
      <w:tr w:rsidR="001F1FBE" w14:paraId="73348666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6FE1E0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11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393734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1010101015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077DCA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وارش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717531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A9A53A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1F1FBE" w14:paraId="794B163B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14D936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12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DDC4A8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1010101016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CE4B47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سهيل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2AD25D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D4FF19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1F1FBE" w14:paraId="0755CBD8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A0BF75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13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DDC63E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1010101017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0B1116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عرفان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9B6DA7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CA98D4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 سبب الرصيد الدائن بالمخزون: (1) افتتاحي لعملاء المندوب لم يُسجَّل كافتتاحي له بقيمة 1,930.51 ريال. (2) حركة خصم المديونية أكبر من حركة إضافة المديونية بفرق -61,779.27 ريال.</w:t>
            </w:r>
          </w:p>
        </w:tc>
      </w:tr>
      <w:tr w:rsidR="001F1FBE" w14:paraId="528BECDE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79D43F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14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D01FE5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647814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سانساي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5F34B7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7612B8" w14:textId="77777777" w:rsidR="001F1FBE" w:rsidRDefault="00000000">
            <w:pPr>
              <w:spacing w:after="60"/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 الحساب مربوط بمستخدمين اثنين: sansay بمديونية -13,499.21 ريال، وsayam yaseer بمديونية 6,537 ريال.</w:t>
            </w:r>
          </w:p>
          <w:p w14:paraId="00B8F497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الحساب دائن بسبب حركة خصم مديونية فقط بقيمة -13,966.41 ريال.</w:t>
            </w:r>
          </w:p>
        </w:tc>
      </w:tr>
      <w:tr w:rsidR="001F1FBE" w14:paraId="1C264629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0ADA56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15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670ACF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165A74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(مندوب مؤقت)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98D0E8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933A0A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1F1FBE" w14:paraId="1D42F1A1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5E530A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16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A44654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AD7FC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عمر العويدان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ACC5B9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2A289F" w14:textId="77777777" w:rsidR="001F1FBE" w:rsidRDefault="00000000">
            <w:pPr>
              <w:spacing w:after="60"/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 ما عدا حركة قيود اليومية المضافة بالحسابات يدويًا.</w:t>
            </w:r>
          </w:p>
          <w:p w14:paraId="76650A24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الرصيد دائن بالمخزون بسبب: (1) رصيد افتتاحي للعملاء لم يُسجَّل للمندوب بقيمة 942,608.19 ريال. (2) سندات الصرف أعلى من صافي المبيعات (صافي المبيعات = 2,180,784.779، سند الصرف = -3,308,604.69). (3) سند خصم مضاف بقيمة -94,833.41 ريال. (4) حركة قيد يومية رقم 3 بنظام الحسابات بقيمة مدين 564,250 ريال.</w:t>
            </w:r>
          </w:p>
        </w:tc>
      </w:tr>
      <w:tr w:rsidR="001F1FBE" w14:paraId="4410D774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3C6C5B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lastRenderedPageBreak/>
              <w:t>17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15A1BF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EAE930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الصندوق الرئيسي</w:t>
            </w:r>
          </w:p>
        </w:tc>
        <w:tc>
          <w:tcPr>
            <w:tcW w:w="0" w:type="auto"/>
            <w:shd w:val="clear" w:color="auto" w:fill="F4CCC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00B73E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غير 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82B970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رصيد الحساب بالحسابات دائن بقيمة -739,147.87 ريال بسبب وجود 6 قيود يومية بأرصدة دائنة بقيمة 736,521.41 ريال.</w:t>
            </w:r>
          </w:p>
        </w:tc>
      </w:tr>
      <w:tr w:rsidR="001F1FBE" w14:paraId="3944D78F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2647D8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18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9F06FB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DB9909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بركات الضاوي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8ABD8B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965E14" w14:textId="77777777" w:rsidR="001F1FBE" w:rsidRDefault="00000000">
            <w:pPr>
              <w:spacing w:after="60"/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 (إذا تم إلغاء حركات القيود المضافة).</w:t>
            </w:r>
          </w:p>
          <w:p w14:paraId="12A40447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أسباب الرصيد الدائن بالمخزون: (1) أرصدة افتتاحية لعملاء المندوب لم تُسجَّل كرصيد افتتاحي له. (2) سندات الصرف أعلى من صافي المبيعات (صافي المبيعات = 2,941,066.88، سندات الصرف = -3,665,418.58) ووجود سندات خصم بقيمة -59,111 ريال. (3) حركتا قيد يومية بالحسابات بقيمة 258,030.79 ريال مدين.</w:t>
            </w:r>
          </w:p>
        </w:tc>
      </w:tr>
      <w:tr w:rsidR="001F1FBE" w14:paraId="18D70B51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0E5288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19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80ED1E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1010101025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157D34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عمر علي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70FD8B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BBAC89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 الحساب دائن بسبب: (1) رصيد افتتاحي لعملاء المندوب لم يُسجَّل بقيمة 151 ريال. (2) قيمة خصم المديونية أعلى من إضافة المديونية بفرق -27,243.63 ريال.</w:t>
            </w:r>
          </w:p>
        </w:tc>
      </w:tr>
      <w:tr w:rsidR="001F1FBE" w14:paraId="2EC74D59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D9EC89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20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53E989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-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32F539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محمود سلامة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F67E59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59F2DF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1F1FBE" w14:paraId="6163C036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EF1E62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21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6D6148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1010101027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39CC2A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أحمد حجازي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5A4C43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2C7A7C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 رصيد الحساب دائن بسبب: (1) افتتاحي للعملاء لم يُسجَّل في افتتاحي المندوب بقيمة 20,798.8 ريال. (2) قيمة خصم المديونية أعلى من إضافة المديونية بفرق -26,283.84 ريال.</w:t>
            </w:r>
          </w:p>
        </w:tc>
      </w:tr>
      <w:tr w:rsidR="001F1FBE" w14:paraId="017D8D07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D1B74D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22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71DD16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1010101030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3B8636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رفعت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988AB3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0DE0FF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1F1FBE" w14:paraId="0A560E09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97F8B8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23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2D8703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1010101031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A126B4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أحمد رفعت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568C19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498A93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1F1FBE" w14:paraId="2C241273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6520A6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24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24EAF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1010101035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B142E7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زاهي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605BA7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A8F74D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 الرصيد دائن في المخزون بسبب: (1) افتتاحي لعملاء المندوب لم يُسجَّل كافتتاحي له بقيمة 1,776.65 ريال. (2) قيمة خصم المديونية أعلى من إضافة المديونية بفرق -5,329.18 ريال.</w:t>
            </w:r>
          </w:p>
        </w:tc>
      </w:tr>
      <w:tr w:rsidR="001F1FBE" w14:paraId="4218F0D0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E49892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25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BE0E3B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1010101036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34A434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زبير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8C56A1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E41C27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1F1FBE" w14:paraId="7104BD35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DB43F0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26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A2900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1010101037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93C488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عبد الرحمن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E785F4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0A8E60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 الرصيد دائن بسبب: (1) افتتاحي لعملاء المندوب لم يُسجَّل كافتتاحي لمديونيته بقيمة 41,407.81 ريال. (2) قيمة خصم المديونية أعلى من إضافة المديونية بفرق -36,209.1 ريال.</w:t>
            </w:r>
          </w:p>
        </w:tc>
      </w:tr>
      <w:tr w:rsidR="001F1FBE" w14:paraId="77F0B727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DB8D44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27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C76303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1010101038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2E46D9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رفقت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0EE17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9ABA7B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1F1FBE" w14:paraId="0282A52B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AF5564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28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6BD1D8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1010101039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5E1041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مسعود رحمن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A25DB6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F1EFA0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1F1FBE" w14:paraId="541828CB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072681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29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5D126F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1010101040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99088F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مندوب عملاء التعبئة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EA46CB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AAA25A" w14:textId="77777777" w:rsidR="001F1FBE" w:rsidRDefault="00000000">
            <w:pPr>
              <w:spacing w:after="60"/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والحسابات، والحساب مربوط بمندوب "عملاء التعبئة (ملغى)".</w:t>
            </w:r>
          </w:p>
          <w:p w14:paraId="0F2330EA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رصيد الحساب دائن بسبب أن قيمة الصرف أعلى من قيمة المبيعات.</w:t>
            </w:r>
          </w:p>
        </w:tc>
      </w:tr>
      <w:tr w:rsidR="001F1FBE" w14:paraId="209EB022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E1DEE5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30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30C74B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1010101041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5A4263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حساب صندوق فرع جملة الوكلاء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B1CE5E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46D67A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 رصيد الحساب دائن بسبب: (1) افتتاحي لم يُسجَّل للمندوب بقيمة افتتاحي عملائه 173,106.5 ريال. (2) سندات الصرف/الإيداع أعلى من صافي المبيعات بفرق -493,207.05 ريال، وخصم المديونية أعلى من إضافتها بفرق -109,003.21 ريال. (3) سند خصم بقيمة -5,690.28 ريال.</w:t>
            </w:r>
          </w:p>
        </w:tc>
      </w:tr>
      <w:tr w:rsidR="001F1FBE" w14:paraId="224115AE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D7C978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31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58AE27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1010101044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1DD26F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مبيعات التعبئة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1EA2A7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52883B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 رصيد الحساب دائن بسبب: (1) افتتاحي لم يُسجَّل للمندوب بقيمة 5,917,978.29 ريال. (2) سندات الصرف أعلى من المبيعات بفرق -899,158.046 ريال. (3) سند خصم بقيمة -38,048 ريال.</w:t>
            </w:r>
          </w:p>
        </w:tc>
      </w:tr>
      <w:tr w:rsidR="001F1FBE" w14:paraId="3E3158AB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E96A4F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32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A03815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1010101046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94603C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صدام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3CB922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97374D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1F1FBE" w14:paraId="711B9DC3" w14:textId="77777777" w:rsidTr="00A51FCF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236DD8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33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39A328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1010101047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34E508" w14:textId="77777777" w:rsidR="001F1FBE" w:rsidRDefault="00000000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المندوب جبران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436A40" w14:textId="77777777" w:rsidR="001F1FBE" w:rsidRDefault="00000000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500D50" w14:textId="77777777" w:rsidR="001F1FBE" w:rsidRDefault="00000000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A51FCF" w14:paraId="6C1279BF" w14:textId="77777777" w:rsidTr="0007393A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802AAA" w14:textId="3491ED12" w:rsidR="00A51FCF" w:rsidRDefault="00A51FCF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35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F19A19" w14:textId="5D4093EB" w:rsidR="00A51FCF" w:rsidRDefault="00A51FCF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1010101051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B1587E" w14:textId="11778A0C" w:rsidR="00A51FCF" w:rsidRDefault="00A51FCF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المشرف محمود ناجي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9CC871" w14:textId="31F7A283" w:rsidR="00A51FCF" w:rsidRDefault="00A51FCF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C27BC2" w14:textId="04223F41" w:rsidR="00A51FCF" w:rsidRDefault="00A51FCF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A51FCF" w14:paraId="3DDC6CB3" w14:textId="77777777" w:rsidTr="0007393A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D57E0A" w14:textId="4F83669B" w:rsidR="00A51FCF" w:rsidRDefault="00A51FCF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36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50FD9A" w14:textId="5B824A47" w:rsidR="00A51FCF" w:rsidRDefault="00A51FCF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1010101052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1DF117" w14:textId="32C17224" w:rsidR="00A51FCF" w:rsidRDefault="00A51FCF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المشرف أحمد مبارك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B6A14C" w14:textId="5CD7EAA6" w:rsidR="00A51FCF" w:rsidRDefault="00A51FCF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56C551" w14:textId="7627180A" w:rsidR="00A51FCF" w:rsidRDefault="00A51FCF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A51FCF" w14:paraId="1EF7E7B1" w14:textId="77777777" w:rsidTr="0007393A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42D250" w14:textId="1E9B2B2A" w:rsidR="00A51FCF" w:rsidRDefault="00A51FCF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37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8B253F" w14:textId="725938CC" w:rsidR="00A51FCF" w:rsidRDefault="00A51FCF">
            <w:pPr>
              <w:spacing w:after="10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1010101085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20C818" w14:textId="5DEA08CF" w:rsidR="00A51FCF" w:rsidRDefault="00A51FCF">
            <w:pPr>
              <w:spacing w:after="100"/>
              <w:jc w:val="right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صندوق صلاح علي أحمد علي</w:t>
            </w: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A8EAE8" w14:textId="7B0B2D6E" w:rsidR="00A51FCF" w:rsidRDefault="00A51FCF">
            <w:pPr>
              <w:spacing w:after="100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>مطابق</w:t>
            </w: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4883DF" w14:textId="4219D60F" w:rsidR="00A51FCF" w:rsidRDefault="00A51FCF">
            <w:pPr>
              <w:jc w:val="right"/>
            </w:pPr>
            <w:r>
              <w:rPr>
                <w:rFonts w:ascii="Arial" w:eastAsia="Arial" w:hAnsi="Arial" w:cs="Arial"/>
                <w:sz w:val="17"/>
                <w:szCs w:val="17"/>
                <w:rtl/>
              </w:rPr>
              <w:t>• مطابق بين المخزون والحسابات.</w:t>
            </w:r>
          </w:p>
        </w:tc>
      </w:tr>
      <w:tr w:rsidR="00A51FCF" w14:paraId="58460CB8" w14:textId="77777777" w:rsidTr="0007393A">
        <w:tblPrEx>
          <w:tblCellMar>
            <w:top w:w="0" w:type="dxa"/>
            <w:bottom w:w="0" w:type="dxa"/>
          </w:tblCellMar>
        </w:tblPrEx>
        <w:tc>
          <w:tcPr>
            <w:tcW w:w="39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80376F" w14:textId="15766E04" w:rsidR="00A51FCF" w:rsidRDefault="00A51FCF">
            <w:pPr>
              <w:spacing w:after="100"/>
              <w:jc w:val="center"/>
            </w:pP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DB77C2" w14:textId="3D9B9A2C" w:rsidR="00A51FCF" w:rsidRDefault="00A51FCF">
            <w:pPr>
              <w:spacing w:after="100"/>
              <w:jc w:val="center"/>
            </w:pP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8E56E6" w14:textId="6C56161F" w:rsidR="00A51FCF" w:rsidRDefault="00A51FCF">
            <w:pPr>
              <w:spacing w:after="100"/>
              <w:jc w:val="right"/>
            </w:pPr>
          </w:p>
        </w:tc>
        <w:tc>
          <w:tcPr>
            <w:tcW w:w="0" w:type="auto"/>
            <w:shd w:val="clear" w:color="auto" w:fill="D9EAD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A86E21" w14:textId="78ABA7ED" w:rsidR="00A51FCF" w:rsidRDefault="00A51FCF">
            <w:pPr>
              <w:spacing w:after="100"/>
              <w:jc w:val="center"/>
            </w:pPr>
          </w:p>
        </w:tc>
        <w:tc>
          <w:tcPr>
            <w:tcW w:w="0" w:type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95A0CA" w14:textId="19EB731C" w:rsidR="00A51FCF" w:rsidRDefault="00A51FCF">
            <w:pPr>
              <w:jc w:val="right"/>
            </w:pPr>
          </w:p>
        </w:tc>
      </w:tr>
    </w:tbl>
    <w:p w14:paraId="1262D68C" w14:textId="77777777" w:rsidR="00D17BDD" w:rsidRDefault="00D17BDD"/>
    <w:sectPr w:rsidR="00D17BDD">
      <w:pgSz w:w="11906" w:h="16838" w:orient="landscape"/>
      <w:pgMar w:top="900" w:right="700" w:bottom="900" w:left="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E212A"/>
    <w:multiLevelType w:val="hybridMultilevel"/>
    <w:tmpl w:val="E65A9F78"/>
    <w:lvl w:ilvl="0" w:tplc="40A8C33A">
      <w:start w:val="1"/>
      <w:numFmt w:val="bullet"/>
      <w:lvlText w:val="●"/>
      <w:lvlJc w:val="left"/>
      <w:pPr>
        <w:ind w:left="720" w:hanging="360"/>
      </w:pPr>
    </w:lvl>
    <w:lvl w:ilvl="1" w:tplc="0DD60538">
      <w:start w:val="1"/>
      <w:numFmt w:val="bullet"/>
      <w:lvlText w:val="○"/>
      <w:lvlJc w:val="left"/>
      <w:pPr>
        <w:ind w:left="1440" w:hanging="360"/>
      </w:pPr>
    </w:lvl>
    <w:lvl w:ilvl="2" w:tplc="81B453D0">
      <w:start w:val="1"/>
      <w:numFmt w:val="bullet"/>
      <w:lvlText w:val="■"/>
      <w:lvlJc w:val="left"/>
      <w:pPr>
        <w:ind w:left="2160" w:hanging="360"/>
      </w:pPr>
    </w:lvl>
    <w:lvl w:ilvl="3" w:tplc="E0B63B06">
      <w:start w:val="1"/>
      <w:numFmt w:val="bullet"/>
      <w:lvlText w:val="●"/>
      <w:lvlJc w:val="left"/>
      <w:pPr>
        <w:ind w:left="2880" w:hanging="360"/>
      </w:pPr>
    </w:lvl>
    <w:lvl w:ilvl="4" w:tplc="A90A66B8">
      <w:start w:val="1"/>
      <w:numFmt w:val="bullet"/>
      <w:lvlText w:val="○"/>
      <w:lvlJc w:val="left"/>
      <w:pPr>
        <w:ind w:left="3600" w:hanging="360"/>
      </w:pPr>
    </w:lvl>
    <w:lvl w:ilvl="5" w:tplc="2A5C8144">
      <w:start w:val="1"/>
      <w:numFmt w:val="bullet"/>
      <w:lvlText w:val="■"/>
      <w:lvlJc w:val="left"/>
      <w:pPr>
        <w:ind w:left="4320" w:hanging="360"/>
      </w:pPr>
    </w:lvl>
    <w:lvl w:ilvl="6" w:tplc="8EBEB100">
      <w:start w:val="1"/>
      <w:numFmt w:val="bullet"/>
      <w:lvlText w:val="●"/>
      <w:lvlJc w:val="left"/>
      <w:pPr>
        <w:ind w:left="5040" w:hanging="360"/>
      </w:pPr>
    </w:lvl>
    <w:lvl w:ilvl="7" w:tplc="F17E01CA">
      <w:start w:val="1"/>
      <w:numFmt w:val="bullet"/>
      <w:lvlText w:val="●"/>
      <w:lvlJc w:val="left"/>
      <w:pPr>
        <w:ind w:left="5760" w:hanging="360"/>
      </w:pPr>
    </w:lvl>
    <w:lvl w:ilvl="8" w:tplc="220A61E2">
      <w:start w:val="1"/>
      <w:numFmt w:val="bullet"/>
      <w:lvlText w:val="●"/>
      <w:lvlJc w:val="left"/>
      <w:pPr>
        <w:ind w:left="6480" w:hanging="360"/>
      </w:pPr>
    </w:lvl>
  </w:abstractNum>
  <w:num w:numId="1" w16cid:durableId="2108381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FBE"/>
    <w:rsid w:val="001F1FBE"/>
    <w:rsid w:val="00A51FCF"/>
    <w:rsid w:val="00D17BDD"/>
    <w:rsid w:val="00DB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59F194"/>
  <w15:docId w15:val="{399CE1FA-E4D2-4D00-96C1-B2E98B3F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mahmoud mostafa</cp:lastModifiedBy>
  <cp:revision>2</cp:revision>
  <dcterms:created xsi:type="dcterms:W3CDTF">2026-08-10T07:01:00Z</dcterms:created>
  <dcterms:modified xsi:type="dcterms:W3CDTF">2026-08-10T07:08:00Z</dcterms:modified>
</cp:coreProperties>
</file>